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BF2915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625F2">
              <w:rPr>
                <w:b/>
                <w:bCs/>
              </w:rPr>
              <w:t>Открытый турнир по эстетической гимнастике «СЧАСТЛИВОЕ ДЕТСТВО»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BF2915" w:rsidP="00BF291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8625F2">
              <w:rPr>
                <w:b/>
                <w:bCs/>
              </w:rPr>
              <w:t>26 октября 2024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8625F2">
              <w:rPr>
                <w:b/>
                <w:bCs/>
              </w:rPr>
              <w:t>ЦРС ФОК «Чемпион», адрес: РСО-Алания, Моздок, ул. Хетагурова, 11 «А»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01F6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F2915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2024-09-11T10:14:00Z</dcterms:created>
  <dcterms:modified xsi:type="dcterms:W3CDTF">2024-09-11T10:15:00Z</dcterms:modified>
</cp:coreProperties>
</file>